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DocHeader"/>
        <w:jc w:val="center"/>
      </w:pPr>
      <w:r>
        <w:t>Моніторинг підвищення кваліфікації</w:t>
      </w:r>
    </w:p>
    <w:p>
      <w:pPr/>
      <w:r>
        <w:br/>
      </w:r>
    </w:p>
    <w:p>
      <w:pPr/>
      <w:r>
        <w:rPr>
          <w:rStyle w:val="MpkFieldHeader"/>
        </w:rPr>
        <w:t xml:space="preserve">Співробітник/-иця центру професійного розвитку: </w:t>
      </w:r>
      <w:r>
        <w:t>Петрова Оля Василівна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270"/>
        <w:gridCol w:w="5270"/>
      </w:tblGrid>
      <w:tr>
        <w:tc>
          <w:tcPr>
            <w:tcW w:type="dxa" w:w="5270"/>
          </w:tcPr>
          <w:p/>
          <w:p>
            <w:pPr>
              <w:jc w:val="center"/>
            </w:pPr>
            <w:r>
              <w:rPr>
                <w:b/>
              </w:rPr>
              <w:t>Дата останньої атестації</w:t>
            </w:r>
          </w:p>
        </w:tc>
        <w:tc>
          <w:tcPr>
            <w:tcW w:type="dxa" w:w="5270"/>
          </w:tcPr>
          <w:p/>
          <w:p>
            <w:pPr>
              <w:jc w:val="center"/>
            </w:pPr>
            <w:r>
              <w:rPr>
                <w:b/>
              </w:rPr>
              <w:t>Орієнтовна дата наступної атестації</w:t>
            </w:r>
          </w:p>
        </w:tc>
      </w:tr>
      <w:tr>
        <w:tc>
          <w:tcPr>
            <w:tcW w:type="dxa" w:w="5270"/>
          </w:tcPr>
          <w:p/>
          <w:p>
            <w:pPr>
              <w:jc w:val="center"/>
            </w:pPr>
            <w:r>
              <w:t>15.03.2023</w:t>
            </w:r>
          </w:p>
        </w:tc>
        <w:tc>
          <w:tcPr>
            <w:tcW w:type="dxa" w:w="5270"/>
          </w:tcPr>
          <w:p/>
          <w:p>
            <w:pPr>
              <w:jc w:val="center"/>
            </w:pPr>
            <w:r>
              <w:t>15.03.2028</w:t>
            </w:r>
          </w:p>
        </w:tc>
      </w:tr>
    </w:tbl>
    <w:p>
      <w:pPr/>
      <w:r>
        <w:br/>
      </w:r>
    </w:p>
    <w:p>
      <w:pPr>
        <w:pStyle w:val="DocHeader"/>
        <w:jc w:val="center"/>
      </w:pPr>
      <w:r>
        <w:t>Облік годин підвищення кваліфікації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57"/>
        <w:gridCol w:w="1757"/>
        <w:gridCol w:w="1757"/>
        <w:gridCol w:w="1757"/>
        <w:gridCol w:w="1757"/>
        <w:gridCol w:w="1757"/>
      </w:tblGrid>
      <w:tr>
        <w:tc>
          <w:tcPr>
            <w:tcW w:type="dxa" w:w="1757"/>
          </w:tcPr>
          <w:p/>
          <w:p>
            <w:pPr>
              <w:jc w:val="center"/>
            </w:pPr>
            <w:r>
              <w:rPr>
                <w:b/>
              </w:rPr>
              <w:t>Плановий показник на 5 років</w:t>
            </w:r>
          </w:p>
        </w:tc>
        <w:tc>
          <w:tcPr>
            <w:tcW w:type="dxa" w:w="1757"/>
          </w:tcPr>
          <w:p/>
          <w:p>
            <w:pPr>
              <w:jc w:val="center"/>
            </w:pPr>
            <w:r>
              <w:rPr>
                <w:b/>
              </w:rPr>
              <w:t>Опановано годин підвищення кваліфікації</w:t>
            </w:r>
          </w:p>
        </w:tc>
        <w:tc>
          <w:tcPr>
            <w:tcW w:type="dxa" w:w="1757"/>
          </w:tcPr>
          <w:p/>
          <w:p>
            <w:pPr>
              <w:jc w:val="center"/>
            </w:pPr>
            <w:r>
              <w:rPr>
                <w:b/>
              </w:rPr>
              <w:t>Залишилося опанувати годин підвищення кваліфікації</w:t>
            </w:r>
          </w:p>
        </w:tc>
        <w:tc>
          <w:tcPr>
            <w:tcW w:type="dxa" w:w="1757"/>
          </w:tcPr>
          <w:p/>
          <w:p>
            <w:pPr>
              <w:jc w:val="center"/>
            </w:pPr>
            <w:r>
              <w:rPr>
                <w:b/>
              </w:rPr>
              <w:t>Інклюзія</w:t>
            </w:r>
          </w:p>
        </w:tc>
        <w:tc>
          <w:tcPr>
            <w:tcW w:type="dxa" w:w="1757"/>
          </w:tcPr>
          <w:p/>
          <w:p>
            <w:pPr>
              <w:jc w:val="center"/>
            </w:pPr>
            <w:r>
              <w:rPr>
                <w:b/>
              </w:rPr>
              <w:t>Психологічна підтримка</w:t>
            </w:r>
          </w:p>
        </w:tc>
        <w:tc>
          <w:tcPr>
            <w:tcW w:type="dxa" w:w="1757"/>
          </w:tcPr>
          <w:p/>
          <w:p>
            <w:pPr>
              <w:jc w:val="center"/>
            </w:pPr>
            <w:r>
              <w:rPr>
                <w:b/>
              </w:rPr>
              <w:t>Інші напрями</w:t>
            </w:r>
          </w:p>
        </w:tc>
      </w:tr>
      <w:tr>
        <w:tc>
          <w:tcPr>
            <w:tcW w:type="dxa" w:w="1757"/>
          </w:tcPr>
          <w:p/>
          <w:p>
            <w:pPr>
              <w:jc w:val="center"/>
            </w:pPr>
            <w:r>
              <w:t>180 годин</w:t>
            </w:r>
          </w:p>
        </w:tc>
        <w:tc>
          <w:tcPr>
            <w:tcW w:type="dxa" w:w="1757"/>
          </w:tcPr>
          <w:p/>
          <w:p>
            <w:pPr>
              <w:jc w:val="center"/>
            </w:pPr>
            <w:r>
              <w:t>45</w:t>
            </w:r>
          </w:p>
        </w:tc>
        <w:tc>
          <w:tcPr>
            <w:tcW w:type="dxa" w:w="1757"/>
          </w:tcPr>
          <w:p/>
          <w:p>
            <w:pPr>
              <w:jc w:val="center"/>
            </w:pPr>
            <w:r>
              <w:t>135</w:t>
            </w:r>
          </w:p>
        </w:tc>
        <w:tc>
          <w:tcPr>
            <w:tcW w:type="dxa" w:w="1757"/>
          </w:tcPr>
          <w:p/>
          <w:p>
            <w:pPr>
              <w:jc w:val="center"/>
            </w:pPr>
            <w:r>
              <w:t>0.00</w:t>
            </w:r>
          </w:p>
        </w:tc>
        <w:tc>
          <w:tcPr>
            <w:tcW w:type="dxa" w:w="1757"/>
          </w:tcPr>
          <w:p/>
          <w:p>
            <w:pPr>
              <w:jc w:val="center"/>
            </w:pPr>
            <w:r>
              <w:t>0.00</w:t>
            </w:r>
          </w:p>
        </w:tc>
        <w:tc>
          <w:tcPr>
            <w:tcW w:type="dxa" w:w="1757"/>
          </w:tcPr>
          <w:p/>
          <w:p>
            <w:pPr>
              <w:jc w:val="center"/>
            </w:pPr>
            <w:r>
              <w:t>45.00</w:t>
            </w:r>
          </w:p>
        </w:tc>
      </w:tr>
    </w:tbl>
    <w:p>
      <w:pPr/>
      <w:r>
        <w:br/>
      </w:r>
    </w:p>
    <w:p>
      <w:pPr/>
      <w:r>
        <w:rPr>
          <w:rStyle w:val="MpkFieldHeader"/>
        </w:rPr>
        <w:t xml:space="preserve">Відсоток виконання плану: </w:t>
      </w:r>
      <w:r>
        <w:t>25 %</w:t>
      </w:r>
    </w:p>
    <w:p>
      <w:pPr/>
      <w:r>
        <w:rPr>
          <w:rStyle w:val="MpkFieldHeader"/>
        </w:rPr>
        <w:t xml:space="preserve">Відсоток інклюзії: </w:t>
      </w:r>
      <w:r>
        <w:t>0.00 %</w:t>
      </w:r>
    </w:p>
    <w:p>
      <w:pPr/>
      <w:r>
        <w:rPr>
          <w:rStyle w:val="MpkFieldHeader"/>
        </w:rPr>
        <w:t xml:space="preserve">Відсоток психологічної підтримки: </w:t>
      </w:r>
      <w:r>
        <w:t>0.00 %</w:t>
      </w:r>
    </w:p>
    <w:p>
      <w:pPr/>
      <w:r>
        <w:rPr>
          <w:rStyle w:val="MpkFieldHeader"/>
        </w:rPr>
        <w:t xml:space="preserve">Відсоток інших напрямів: </w:t>
      </w:r>
      <w:r>
        <w:t>25.00 %</w:t>
      </w:r>
    </w:p>
    <w:p>
      <w:pPr/>
      <w:r>
        <w:br/>
      </w:r>
    </w:p>
    <w:p>
      <w:pPr/>
      <w:r>
        <w:rPr>
          <w:rStyle w:val="MpkFieldHeader"/>
        </w:rPr>
        <w:t xml:space="preserve">Пед. працівник/-иця: </w:t>
      </w:r>
      <w:r>
        <w:t>Петрова Оля Василівна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270"/>
        <w:gridCol w:w="5270"/>
      </w:tblGrid>
      <w:tr>
        <w:tc>
          <w:tcPr>
            <w:tcW w:type="dxa" w:w="5270"/>
          </w:tcPr>
          <w:p/>
          <w:p>
            <w:pPr>
              <w:jc w:val="center"/>
            </w:pPr>
            <w:r>
              <w:rPr>
                <w:b/>
              </w:rPr>
              <w:t>Дата останньої атестації</w:t>
            </w:r>
          </w:p>
        </w:tc>
        <w:tc>
          <w:tcPr>
            <w:tcW w:type="dxa" w:w="5270"/>
          </w:tcPr>
          <w:p/>
          <w:p>
            <w:pPr>
              <w:jc w:val="center"/>
            </w:pPr>
            <w:r>
              <w:rPr>
                <w:b/>
              </w:rPr>
              <w:t>Орієнтовна дата наступної атестації</w:t>
            </w:r>
          </w:p>
        </w:tc>
      </w:tr>
      <w:tr>
        <w:tc>
          <w:tcPr>
            <w:tcW w:type="dxa" w:w="5270"/>
          </w:tcPr>
          <w:p/>
          <w:p>
            <w:pPr>
              <w:jc w:val="center"/>
            </w:pPr>
            <w:r>
              <w:t>11.08.2023</w:t>
            </w:r>
          </w:p>
        </w:tc>
        <w:tc>
          <w:tcPr>
            <w:tcW w:type="dxa" w:w="5270"/>
          </w:tcPr>
          <w:p/>
          <w:p>
            <w:pPr>
              <w:jc w:val="center"/>
            </w:pPr>
            <w:r>
              <w:t>11.08.2028</w:t>
            </w:r>
          </w:p>
        </w:tc>
      </w:tr>
    </w:tbl>
    <w:p>
      <w:pPr/>
      <w:r>
        <w:br/>
      </w:r>
    </w:p>
    <w:p>
      <w:pPr>
        <w:pStyle w:val="DocHeader"/>
        <w:jc w:val="center"/>
      </w:pPr>
      <w:r>
        <w:t>Облік годин підвищення кваліфікації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57"/>
        <w:gridCol w:w="1757"/>
        <w:gridCol w:w="1757"/>
        <w:gridCol w:w="1757"/>
        <w:gridCol w:w="1757"/>
        <w:gridCol w:w="1757"/>
      </w:tblGrid>
      <w:tr>
        <w:tc>
          <w:tcPr>
            <w:tcW w:type="dxa" w:w="1757"/>
          </w:tcPr>
          <w:p/>
          <w:p>
            <w:pPr>
              <w:jc w:val="center"/>
            </w:pPr>
            <w:r>
              <w:rPr>
                <w:b/>
              </w:rPr>
              <w:t>Плановий показник на 5 років</w:t>
            </w:r>
          </w:p>
        </w:tc>
        <w:tc>
          <w:tcPr>
            <w:tcW w:type="dxa" w:w="1757"/>
          </w:tcPr>
          <w:p/>
          <w:p>
            <w:pPr>
              <w:jc w:val="center"/>
            </w:pPr>
            <w:r>
              <w:rPr>
                <w:b/>
              </w:rPr>
              <w:t>Опановано годин підвищення кваліфікації</w:t>
            </w:r>
          </w:p>
        </w:tc>
        <w:tc>
          <w:tcPr>
            <w:tcW w:type="dxa" w:w="1757"/>
          </w:tcPr>
          <w:p/>
          <w:p>
            <w:pPr>
              <w:jc w:val="center"/>
            </w:pPr>
            <w:r>
              <w:rPr>
                <w:b/>
              </w:rPr>
              <w:t>Залишилося опанувати годин підвищення кваліфікації</w:t>
            </w:r>
          </w:p>
        </w:tc>
        <w:tc>
          <w:tcPr>
            <w:tcW w:type="dxa" w:w="1757"/>
          </w:tcPr>
          <w:p/>
          <w:p>
            <w:pPr>
              <w:jc w:val="center"/>
            </w:pPr>
            <w:r>
              <w:rPr>
                <w:b/>
              </w:rPr>
              <w:t>Інклюзія</w:t>
            </w:r>
          </w:p>
        </w:tc>
        <w:tc>
          <w:tcPr>
            <w:tcW w:type="dxa" w:w="1757"/>
          </w:tcPr>
          <w:p/>
          <w:p>
            <w:pPr>
              <w:jc w:val="center"/>
            </w:pPr>
            <w:r>
              <w:rPr>
                <w:b/>
              </w:rPr>
              <w:t>Психологічна підтримка</w:t>
            </w:r>
          </w:p>
        </w:tc>
        <w:tc>
          <w:tcPr>
            <w:tcW w:type="dxa" w:w="1757"/>
          </w:tcPr>
          <w:p/>
          <w:p>
            <w:pPr>
              <w:jc w:val="center"/>
            </w:pPr>
            <w:r>
              <w:rPr>
                <w:b/>
              </w:rPr>
              <w:t>Інші напрями</w:t>
            </w:r>
          </w:p>
        </w:tc>
      </w:tr>
      <w:tr>
        <w:tc>
          <w:tcPr>
            <w:tcW w:type="dxa" w:w="1757"/>
          </w:tcPr>
          <w:p/>
          <w:p>
            <w:pPr>
              <w:jc w:val="center"/>
            </w:pPr>
            <w:r>
              <w:t>180 годин</w:t>
            </w:r>
          </w:p>
        </w:tc>
        <w:tc>
          <w:tcPr>
            <w:tcW w:type="dxa" w:w="1757"/>
          </w:tcPr>
          <w:p/>
          <w:p>
            <w:pPr>
              <w:jc w:val="center"/>
            </w:pPr>
            <w:r>
              <w:t>45</w:t>
            </w:r>
          </w:p>
        </w:tc>
        <w:tc>
          <w:tcPr>
            <w:tcW w:type="dxa" w:w="1757"/>
          </w:tcPr>
          <w:p/>
          <w:p>
            <w:pPr>
              <w:jc w:val="center"/>
            </w:pPr>
            <w:r>
              <w:t>135</w:t>
            </w:r>
          </w:p>
        </w:tc>
        <w:tc>
          <w:tcPr>
            <w:tcW w:type="dxa" w:w="1757"/>
          </w:tcPr>
          <w:p/>
          <w:p>
            <w:pPr>
              <w:jc w:val="center"/>
            </w:pPr>
            <w:r>
              <w:t>0.00</w:t>
            </w:r>
          </w:p>
        </w:tc>
        <w:tc>
          <w:tcPr>
            <w:tcW w:type="dxa" w:w="1757"/>
          </w:tcPr>
          <w:p/>
          <w:p>
            <w:pPr>
              <w:jc w:val="center"/>
            </w:pPr>
            <w:r>
              <w:t>0.00</w:t>
            </w:r>
          </w:p>
        </w:tc>
        <w:tc>
          <w:tcPr>
            <w:tcW w:type="dxa" w:w="1757"/>
          </w:tcPr>
          <w:p/>
          <w:p>
            <w:pPr>
              <w:jc w:val="center"/>
            </w:pPr>
            <w:r>
              <w:t>45.00</w:t>
            </w:r>
          </w:p>
        </w:tc>
      </w:tr>
    </w:tbl>
    <w:p>
      <w:pPr/>
      <w:r>
        <w:br/>
      </w:r>
    </w:p>
    <w:p>
      <w:pPr/>
      <w:r>
        <w:rPr>
          <w:rStyle w:val="MpkFieldHeader"/>
        </w:rPr>
        <w:t xml:space="preserve">Відсоток виконання плану: </w:t>
      </w:r>
      <w:r>
        <w:t>25 %</w:t>
      </w:r>
    </w:p>
    <w:p>
      <w:pPr/>
      <w:r>
        <w:rPr>
          <w:rStyle w:val="MpkFieldHeader"/>
        </w:rPr>
        <w:t xml:space="preserve">Відсоток інклюзії: </w:t>
      </w:r>
      <w:r>
        <w:t>0.00 %</w:t>
      </w:r>
    </w:p>
    <w:p>
      <w:pPr/>
      <w:r>
        <w:rPr>
          <w:rStyle w:val="MpkFieldHeader"/>
        </w:rPr>
        <w:t xml:space="preserve">Відсоток психологічної підтримки: </w:t>
      </w:r>
      <w:r>
        <w:t>0.00 %</w:t>
      </w:r>
    </w:p>
    <w:p>
      <w:pPr/>
      <w:r>
        <w:rPr>
          <w:rStyle w:val="MpkFieldHeader"/>
        </w:rPr>
        <w:t xml:space="preserve">Відсоток інших напрямів: </w:t>
      </w:r>
      <w:r>
        <w:t>25.00 %</w:t>
      </w:r>
    </w:p>
    <w:p>
      <w:pPr/>
      <w:r>
        <w:br/>
      </w:r>
    </w:p>
    <w:p>
      <w:pPr/>
      <w:r>
        <w:rPr>
          <w:rStyle w:val="MpkFieldHeader"/>
        </w:rPr>
        <w:t>Кількість завершених МПК - 1:</w:t>
      </w:r>
    </w:p>
    <w:p>
      <w:pPr>
        <w:pStyle w:val="ListBullet"/>
      </w:pPr>
      <w:hyperlink r:id="rId9">
        <w:r>
          <w:rPr>
            <w:rStyle w:val="Hyperlink"/>
          </w:rPr>
          <w:t>новий</w:t>
        </w:r>
      </w:hyperlink>
    </w:p>
    <w:p>
      <w:pPr/>
      <w:r>
        <w:rPr>
          <w:rStyle w:val="MpkFieldHeader"/>
        </w:rPr>
        <w:t>Провзаємодіяно з СПК - 1:</w:t>
      </w:r>
    </w:p>
    <w:p>
      <w:pPr>
        <w:pStyle w:val="ListBullet"/>
      </w:pPr>
      <w:hyperlink r:id="rId10">
        <w:r>
          <w:rPr>
            <w:rStyle w:val="Hyperlink"/>
          </w:rPr>
          <w:t>Новий</w:t>
        </w:r>
      </w:hyperlink>
    </w:p>
    <w:p>
      <w:pPr>
        <w:pStyle w:val="DocHeader"/>
        <w:jc w:val="center"/>
      </w:pPr>
      <w:r>
        <w:t>Напрями підвищення кваліфікації</w:t>
      </w:r>
    </w:p>
    <w:p>
      <w:pPr/>
      <w:r>
        <w:rPr>
          <w:rStyle w:val="MpkFieldHeader"/>
        </w:rPr>
        <w:t>Напрями підвищення кваліфікації:</w:t>
        <w:br/>
        <w:br/>
      </w:r>
      <w:r>
        <w:t>використання інформаційно-комунікативних та цифрових технологій в освітньому процесі, включаючи електронне навчання, інформаційну та кібернетичну безпеку</w:t>
      </w:r>
    </w:p>
    <w:p>
      <w:pPr/>
      <w:r>
        <w:br/>
      </w:r>
    </w:p>
    <w:p>
      <w:pPr/>
      <w:r>
        <w:rPr>
          <w:rStyle w:val="MpkFieldHeader"/>
        </w:rPr>
        <w:t>Загальні компетентності:</w:t>
        <w:br/>
        <w:br/>
      </w:r>
      <w:r>
        <w:t>Вільне володіння державною мовою</w:t>
      </w:r>
    </w:p>
    <w:p>
      <w:pPr/>
      <w:r>
        <w:br/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506"/>
        <w:gridCol w:w="1506"/>
        <w:gridCol w:w="1506"/>
        <w:gridCol w:w="1506"/>
        <w:gridCol w:w="1506"/>
        <w:gridCol w:w="1506"/>
        <w:gridCol w:w="1506"/>
      </w:tblGrid>
      <w:tr>
        <w:tc>
          <w:tcPr>
            <w:tcW w:type="dxa" w:w="1506"/>
          </w:tcPr>
          <w:p/>
          <w:p>
            <w:pPr>
              <w:jc w:val="center"/>
            </w:pPr>
            <w:r>
              <w:rPr>
                <w:b/>
              </w:rPr>
              <w:t>№ з/п</w:t>
            </w:r>
          </w:p>
        </w:tc>
        <w:tc>
          <w:tcPr>
            <w:tcW w:type="dxa" w:w="1506"/>
          </w:tcPr>
          <w:p/>
          <w:p>
            <w:pPr>
              <w:jc w:val="center"/>
            </w:pPr>
            <w:r>
              <w:rPr>
                <w:b/>
              </w:rPr>
              <w:t>Терміни</w:t>
            </w:r>
          </w:p>
        </w:tc>
        <w:tc>
          <w:tcPr>
            <w:tcW w:type="dxa" w:w="1506"/>
          </w:tcPr>
          <w:p/>
          <w:p>
            <w:pPr>
              <w:jc w:val="center"/>
            </w:pPr>
            <w:r>
              <w:rPr>
                <w:b/>
              </w:rPr>
              <w:t>Назва програми</w:t>
            </w:r>
          </w:p>
        </w:tc>
        <w:tc>
          <w:tcPr>
            <w:tcW w:type="dxa" w:w="1506"/>
          </w:tcPr>
          <w:p/>
          <w:p>
            <w:pPr>
              <w:jc w:val="center"/>
            </w:pPr>
            <w:r>
              <w:rPr>
                <w:b/>
              </w:rPr>
              <w:t>Суб’єкт підвищення кваліфікації</w:t>
            </w:r>
          </w:p>
        </w:tc>
        <w:tc>
          <w:tcPr>
            <w:tcW w:type="dxa" w:w="1506"/>
          </w:tcPr>
          <w:p/>
          <w:p>
            <w:pPr>
              <w:jc w:val="center"/>
            </w:pPr>
            <w:r>
              <w:rPr>
                <w:b/>
              </w:rPr>
              <w:t>Кількість годин підвищення кваліфікації</w:t>
            </w:r>
          </w:p>
        </w:tc>
        <w:tc>
          <w:tcPr>
            <w:tcW w:type="dxa" w:w="1506"/>
          </w:tcPr>
          <w:p/>
          <w:p>
            <w:pPr>
              <w:jc w:val="center"/>
            </w:pPr>
            <w:r>
              <w:rPr>
                <w:b/>
              </w:rPr>
              <w:t>Номер документа</w:t>
            </w:r>
          </w:p>
        </w:tc>
        <w:tc>
          <w:tcPr>
            <w:tcW w:type="dxa" w:w="1506"/>
          </w:tcPr>
          <w:p/>
          <w:p>
            <w:pPr>
              <w:jc w:val="center"/>
            </w:pPr>
            <w:r>
              <w:rPr>
                <w:b/>
              </w:rPr>
              <w:t>Мій відгук</w:t>
            </w:r>
          </w:p>
        </w:tc>
      </w:tr>
      <w:tr>
        <w:tc>
          <w:tcPr>
            <w:tcW w:type="dxa" w:w="1506"/>
          </w:tcPr>
          <w:p/>
          <w:p>
            <w:r>
              <w:t>1</w:t>
            </w:r>
          </w:p>
        </w:tc>
        <w:tc>
          <w:tcPr>
            <w:tcW w:type="dxa" w:w="1506"/>
          </w:tcPr>
          <w:p/>
          <w:p>
            <w:r>
              <w:t>Постійно</w:t>
            </w:r>
          </w:p>
        </w:tc>
        <w:tc>
          <w:tcPr>
            <w:tcW w:type="dxa" w:w="1506"/>
          </w:tcPr>
          <w:p/>
          <w:p>
            <w:hyperlink r:id="rId9">
              <w:r>
                <w:rPr>
                  <w:rStyle w:val="Hyperlink"/>
                </w:rPr>
                <w:t>новий</w:t>
              </w:r>
            </w:hyperlink>
          </w:p>
        </w:tc>
        <w:tc>
          <w:tcPr>
            <w:tcW w:type="dxa" w:w="1506"/>
          </w:tcPr>
          <w:p/>
          <w:p>
            <w:hyperlink r:id="rId10">
              <w:r>
                <w:rPr>
                  <w:rStyle w:val="Hyperlink"/>
                </w:rPr>
                <w:t>Новий</w:t>
              </w:r>
            </w:hyperlink>
          </w:p>
        </w:tc>
        <w:tc>
          <w:tcPr>
            <w:tcW w:type="dxa" w:w="1506"/>
          </w:tcPr>
          <w:p/>
          <w:p>
            <w:r>
              <w:t>45.00</w:t>
            </w:r>
          </w:p>
        </w:tc>
        <w:tc>
          <w:tcPr>
            <w:tcW w:type="dxa" w:w="1506"/>
          </w:tcPr>
          <w:p/>
          <w:p>
            <w:hyperlink r:id="rId11">
              <w:r>
                <w:rPr>
                  <w:rStyle w:val="Hyperlink"/>
                </w:rPr>
                <w:t>0239-00428-2023-08934</w:t>
              </w:r>
            </w:hyperlink>
          </w:p>
        </w:tc>
        <w:tc>
          <w:tcPr>
            <w:tcW w:type="dxa" w:w="1506"/>
          </w:tcPr>
          <w:p/>
          <w:p>
            <w:hyperlink r:id="rId12">
              <w:r>
                <w:rPr>
                  <w:rStyle w:val="Hyperlink"/>
                </w:rPr>
                <w:t>Перейти до відгуків</w:t>
              </w:r>
            </w:hyperlink>
          </w:p>
        </w:tc>
      </w:tr>
      <w:tr>
        <w:tc>
          <w:tcPr>
            <w:tcW w:type="dxa" w:w="1506"/>
          </w:tcPr>
          <w:p/>
        </w:tc>
        <w:tc>
          <w:tcPr>
            <w:tcW w:type="dxa" w:w="1506"/>
          </w:tcPr>
          <w:p/>
          <w:p>
            <w:r>
              <w:t>РАЗОМ годин підвищення кваліфікації</w:t>
            </w:r>
          </w:p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  <w:tc>
          <w:tcPr>
            <w:tcW w:type="dxa" w:w="1506"/>
          </w:tcPr>
          <w:p/>
          <w:p>
            <w:r>
              <w:t>45.00</w:t>
            </w:r>
          </w:p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</w:tr>
    </w:tbl>
    <w:p>
      <w:pPr/>
      <w:r>
        <w:br/>
        <w:t xml:space="preserve"> Дата генерації звіту: 22.08.2023</w:t>
        <w:br/>
      </w:r>
    </w:p>
    <w:p>
      <w:pPr/>
      <w:r>
        <w:t>Підпис___________________</w:t>
      </w:r>
    </w:p>
    <w:sectPr w:rsidR="00FC693F" w:rsidRPr="0006063C" w:rsidSect="00034616">
      <w:pgSz w:w="12240" w:h="15840"/>
      <w:pgMar w:top="850" w:right="850" w:bottom="1417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6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te">
    <w:name w:val="Note"/>
    <w:pPr>
      <w:spacing w:line="360" w:lineRule="auto"/>
    </w:pPr>
    <w:rPr>
      <w:rFonts w:ascii="Times New Roman" w:hAnsi="Times New Roman"/>
      <w:b/>
      <w:sz w:val="24"/>
    </w:rPr>
  </w:style>
  <w:style w:type="character" w:customStyle="1" w:styleId="MpkFieldHeader">
    <w:name w:val="MpkFieldHeader"/>
    <w:rPr>
      <w:rFonts w:ascii="Times New Roman" w:hAnsi="Times New Roman"/>
      <w:b/>
      <w:sz w:val="28"/>
    </w:rPr>
  </w:style>
  <w:style w:type="character" w:customStyle="1" w:styleId="Hyperlink">
    <w:name w:val="Hyperlink"/>
    <w:rPr>
      <w:rFonts w:ascii="Times New Roman" w:hAnsi="Times New Roman"/>
      <w:color w:val="0563C1"/>
      <w:sz w:val="24"/>
      <w:u w:val="single"/>
    </w:rPr>
  </w:style>
  <w:style w:type="paragraph" w:customStyle="1" w:styleId="DocHeader">
    <w:name w:val="DocHeader"/>
    <w:pPr>
      <w:spacing w:line="360" w:lineRule="auto"/>
    </w:pPr>
    <w:rPr>
      <w:rFonts w:ascii="Times New Roman" w:hAnsi="Times New Roman"/>
      <w:b/>
      <w:sz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ev.k8s.edway.in.ua/uk/mpk/428/detail/" TargetMode="External"/><Relationship Id="rId10" Type="http://schemas.openxmlformats.org/officeDocument/2006/relationships/hyperlink" Target="https://dev.k8s.edway.in.ua/uk/spk/239/detail/" TargetMode="External"/><Relationship Id="rId11" Type="http://schemas.openxmlformats.org/officeDocument/2006/relationships/hyperlink" Target="https://dev.k8s.edway.in.ua/uk/certificates/2540/detail/" TargetMode="External"/><Relationship Id="rId12" Type="http://schemas.openxmlformats.org/officeDocument/2006/relationships/hyperlink" Target="https://dev.k8s.edway.in.ua/uk/review/428/mp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